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8C" w:rsidRDefault="00CF398C" w:rsidP="00CF398C">
      <w:pPr>
        <w:pStyle w:val="ConsPlusNormal"/>
        <w:jc w:val="right"/>
        <w:outlineLvl w:val="1"/>
      </w:pPr>
      <w:r>
        <w:t>Приложение</w:t>
      </w:r>
    </w:p>
    <w:p w:rsidR="00CF398C" w:rsidRDefault="00CF398C" w:rsidP="00CF398C">
      <w:pPr>
        <w:pStyle w:val="ConsPlusNormal"/>
        <w:jc w:val="right"/>
      </w:pPr>
      <w:r>
        <w:t>к требованиям по обеспечению</w:t>
      </w:r>
    </w:p>
    <w:p w:rsidR="00CF398C" w:rsidRDefault="00CF398C" w:rsidP="00CF398C">
      <w:pPr>
        <w:pStyle w:val="ConsPlusNormal"/>
        <w:jc w:val="right"/>
      </w:pPr>
      <w:r>
        <w:t>транспортной безопасности, в том числе</w:t>
      </w:r>
    </w:p>
    <w:p w:rsidR="00CF398C" w:rsidRDefault="00CF398C" w:rsidP="00CF398C">
      <w:pPr>
        <w:pStyle w:val="ConsPlusNormal"/>
        <w:jc w:val="right"/>
      </w:pPr>
      <w:r>
        <w:t>требованиям к антитеррористической</w:t>
      </w:r>
    </w:p>
    <w:p w:rsidR="00CF398C" w:rsidRDefault="00CF398C" w:rsidP="00CF398C">
      <w:pPr>
        <w:pStyle w:val="ConsPlusNormal"/>
        <w:jc w:val="right"/>
      </w:pPr>
      <w:r>
        <w:t>защищенности объектов (территорий),</w:t>
      </w:r>
    </w:p>
    <w:p w:rsidR="00CF398C" w:rsidRDefault="00CF398C" w:rsidP="00CF398C">
      <w:pPr>
        <w:pStyle w:val="ConsPlusNormal"/>
        <w:jc w:val="right"/>
      </w:pPr>
      <w:r>
        <w:t>учитывающим уровни безопасности</w:t>
      </w:r>
    </w:p>
    <w:p w:rsidR="00CF398C" w:rsidRDefault="00CF398C" w:rsidP="00CF398C">
      <w:pPr>
        <w:pStyle w:val="ConsPlusNormal"/>
        <w:jc w:val="right"/>
      </w:pPr>
      <w:r>
        <w:t>для различных категорий объектов</w:t>
      </w:r>
    </w:p>
    <w:p w:rsidR="00CF398C" w:rsidRDefault="00CF398C" w:rsidP="00CF398C">
      <w:pPr>
        <w:pStyle w:val="ConsPlusNormal"/>
        <w:jc w:val="right"/>
      </w:pPr>
      <w:r>
        <w:t>транспортной инфраструктуры</w:t>
      </w:r>
    </w:p>
    <w:p w:rsidR="00CF398C" w:rsidRDefault="00CF398C" w:rsidP="00CF398C">
      <w:pPr>
        <w:pStyle w:val="ConsPlusNormal"/>
        <w:jc w:val="right"/>
      </w:pPr>
      <w:r>
        <w:t>морского и речного транспорта</w:t>
      </w:r>
    </w:p>
    <w:p w:rsidR="00CF398C" w:rsidRDefault="00CF398C" w:rsidP="00CF398C">
      <w:pPr>
        <w:pStyle w:val="ConsPlusNormal"/>
        <w:ind w:firstLine="540"/>
        <w:jc w:val="both"/>
      </w:pPr>
    </w:p>
    <w:p w:rsidR="00CF398C" w:rsidRDefault="00CF398C" w:rsidP="00CF398C">
      <w:pPr>
        <w:pStyle w:val="ConsPlusTitle"/>
        <w:jc w:val="center"/>
      </w:pPr>
      <w:bookmarkStart w:id="0" w:name="P344"/>
      <w:bookmarkEnd w:id="0"/>
      <w:r>
        <w:t>ПРАВИЛА ДОПУСКА НА ОБЪЕКТ ТРАНСПОРТНОЙ ИНФРАСТРУКТУРЫ</w:t>
      </w:r>
    </w:p>
    <w:p w:rsidR="00CF398C" w:rsidRDefault="00CF398C" w:rsidP="00CF398C">
      <w:pPr>
        <w:pStyle w:val="ConsPlusNormal"/>
        <w:ind w:firstLine="540"/>
        <w:jc w:val="both"/>
      </w:pPr>
    </w:p>
    <w:p w:rsidR="00CF398C" w:rsidRDefault="00CF398C" w:rsidP="00CF398C">
      <w:pPr>
        <w:pStyle w:val="ConsPlusNormal"/>
        <w:ind w:firstLine="540"/>
        <w:jc w:val="both"/>
      </w:pPr>
      <w:r>
        <w:t xml:space="preserve">1. Настоящие Правила определяют организацию пропускного и </w:t>
      </w:r>
      <w:proofErr w:type="spellStart"/>
      <w:r>
        <w:t>внутриобъектового</w:t>
      </w:r>
      <w:proofErr w:type="spellEnd"/>
      <w:r>
        <w:t xml:space="preserve"> режимов в целях обеспечения транспортной безопасности объектов транспортной инфраструктуры.</w:t>
      </w:r>
    </w:p>
    <w:p w:rsidR="00CF398C" w:rsidRDefault="00CF398C" w:rsidP="00CF398C">
      <w:pPr>
        <w:pStyle w:val="ConsPlusNormal"/>
        <w:spacing w:before="220"/>
        <w:ind w:firstLine="540"/>
        <w:jc w:val="both"/>
      </w:pPr>
      <w:r>
        <w:t>2. Постоянные пропуска выдаются:</w:t>
      </w:r>
    </w:p>
    <w:p w:rsidR="00CF398C" w:rsidRDefault="00CF398C" w:rsidP="00CF398C">
      <w:pPr>
        <w:pStyle w:val="ConsPlusNormal"/>
        <w:spacing w:before="220"/>
        <w:ind w:firstLine="540"/>
        <w:jc w:val="both"/>
      </w:pPr>
      <w:r>
        <w:t>а) работникам субъекта транспортной инфраструктуры - на срок действия трудового договора, но не более чем на 5 лет;</w:t>
      </w:r>
    </w:p>
    <w:p w:rsidR="00CF398C" w:rsidRDefault="00CF398C" w:rsidP="00CF398C">
      <w:pPr>
        <w:pStyle w:val="ConsPlusNormal"/>
        <w:spacing w:before="220"/>
        <w:ind w:firstLine="540"/>
        <w:jc w:val="both"/>
      </w:pPr>
      <w:r>
        <w:t>б)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p>
    <w:p w:rsidR="00CF398C" w:rsidRDefault="00CF398C" w:rsidP="00CF398C">
      <w:pPr>
        <w:pStyle w:val="ConsPlusNormal"/>
        <w:spacing w:before="220"/>
        <w:ind w:firstLine="540"/>
        <w:jc w:val="both"/>
      </w:pPr>
      <w:r>
        <w:t>в) работникам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письменных обращений руководителей таких юридических лиц или индивидуальных предпринимателей, заверенных печатью (при ее наличии);</w:t>
      </w:r>
    </w:p>
    <w:p w:rsidR="00CF398C" w:rsidRDefault="00CF398C" w:rsidP="00CF398C">
      <w:pPr>
        <w:pStyle w:val="ConsPlusNormal"/>
        <w:spacing w:before="220"/>
        <w:ind w:firstLine="540"/>
        <w:jc w:val="both"/>
      </w:pPr>
      <w:r>
        <w:t>г)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заверенных печатью (при ее наличии) письменных обращений руководителей таких юридических лиц или индивидуальных предпринимателей.</w:t>
      </w:r>
    </w:p>
    <w:p w:rsidR="00CF398C" w:rsidRDefault="00CF398C" w:rsidP="00CF398C">
      <w:pPr>
        <w:pStyle w:val="ConsPlusNormal"/>
        <w:spacing w:before="220"/>
        <w:ind w:firstLine="540"/>
        <w:jc w:val="both"/>
      </w:pPr>
      <w:bookmarkStart w:id="1" w:name="P352"/>
      <w:bookmarkEnd w:id="1"/>
      <w:r>
        <w:t>3. Постоянные пропуска физических лиц содержат следующую информацию:</w:t>
      </w:r>
    </w:p>
    <w:p w:rsidR="00CF398C" w:rsidRDefault="00CF398C" w:rsidP="00CF398C">
      <w:pPr>
        <w:pStyle w:val="ConsPlusNormal"/>
        <w:spacing w:before="220"/>
        <w:ind w:firstLine="540"/>
        <w:jc w:val="both"/>
      </w:pPr>
      <w:r>
        <w:t>номер пропуска;</w:t>
      </w:r>
    </w:p>
    <w:p w:rsidR="00CF398C" w:rsidRDefault="00CF398C" w:rsidP="00CF398C">
      <w:pPr>
        <w:pStyle w:val="ConsPlusNormal"/>
        <w:spacing w:before="220"/>
        <w:ind w:firstLine="540"/>
        <w:jc w:val="both"/>
      </w:pPr>
      <w:r>
        <w:t>наименование субъекта транспортной инфраструктуры, выдавшего пропуск;</w:t>
      </w:r>
    </w:p>
    <w:p w:rsidR="00CF398C" w:rsidRDefault="00CF398C" w:rsidP="00CF398C">
      <w:pPr>
        <w:pStyle w:val="ConsPlusNormal"/>
        <w:spacing w:before="220"/>
        <w:ind w:firstLine="540"/>
        <w:jc w:val="both"/>
      </w:pPr>
      <w:r>
        <w:t>место работы (службы), должность, фамилия, имя, отчество (при наличии) и фотография владельца пропуска;</w:t>
      </w:r>
    </w:p>
    <w:p w:rsidR="00CF398C" w:rsidRDefault="00CF398C" w:rsidP="00CF398C">
      <w:pPr>
        <w:pStyle w:val="ConsPlusNormal"/>
        <w:spacing w:before="220"/>
        <w:ind w:firstLine="540"/>
        <w:jc w:val="both"/>
      </w:pPr>
      <w:r>
        <w:t>срок и временной интервал действия постоянного пропуска и сектора зоны транспортной безопасности объекта транспортной инфраструктуры, в которые допущен владелец пропуска.</w:t>
      </w:r>
    </w:p>
    <w:p w:rsidR="00CF398C" w:rsidRDefault="00CF398C" w:rsidP="00CF398C">
      <w:pPr>
        <w:pStyle w:val="ConsPlusNormal"/>
        <w:spacing w:before="220"/>
        <w:ind w:firstLine="540"/>
        <w:jc w:val="both"/>
      </w:pPr>
      <w:r>
        <w:t xml:space="preserve">Постоянные пропуска физических лиц, выдаваемые для допуска на объекты транспортной инфраструктуры I и II категорий, содержат </w:t>
      </w:r>
      <w:proofErr w:type="spellStart"/>
      <w:r>
        <w:t>машиносчитываемую</w:t>
      </w:r>
      <w:proofErr w:type="spellEnd"/>
      <w:r>
        <w:t xml:space="preserve"> часть для биометрической идентификации.</w:t>
      </w:r>
    </w:p>
    <w:p w:rsidR="00CF398C" w:rsidRDefault="00CF398C" w:rsidP="00CF398C">
      <w:pPr>
        <w:pStyle w:val="ConsPlusNormal"/>
        <w:spacing w:before="220"/>
        <w:ind w:firstLine="540"/>
        <w:jc w:val="both"/>
      </w:pPr>
      <w:bookmarkStart w:id="2" w:name="P358"/>
      <w:bookmarkEnd w:id="2"/>
      <w:r>
        <w:t xml:space="preserve">4. Постоянные пропуска на служебные, производственные автотранспортные средства, </w:t>
      </w:r>
      <w:r>
        <w:lastRenderedPageBreak/>
        <w:t>самоходные машины и механизмы, а также разовые пропуска на иные автотранспортные средства содержат следующую информацию:</w:t>
      </w:r>
    </w:p>
    <w:p w:rsidR="00CF398C" w:rsidRDefault="00CF398C" w:rsidP="00CF398C">
      <w:pPr>
        <w:pStyle w:val="ConsPlusNormal"/>
        <w:spacing w:before="220"/>
        <w:ind w:firstLine="540"/>
        <w:jc w:val="both"/>
      </w:pPr>
      <w:r>
        <w:t>а) номер пропуска;</w:t>
      </w:r>
    </w:p>
    <w:p w:rsidR="00CF398C" w:rsidRDefault="00CF398C" w:rsidP="00CF398C">
      <w:pPr>
        <w:pStyle w:val="ConsPlusNormal"/>
        <w:spacing w:before="220"/>
        <w:ind w:firstLine="540"/>
        <w:jc w:val="both"/>
      </w:pPr>
      <w:r>
        <w:t>б) наименование субъекта транспортной инфраструктуры, выдавшего пропуск;</w:t>
      </w:r>
    </w:p>
    <w:p w:rsidR="00CF398C" w:rsidRDefault="00CF398C" w:rsidP="00CF398C">
      <w:pPr>
        <w:pStyle w:val="ConsPlusNormal"/>
        <w:spacing w:before="220"/>
        <w:ind w:firstLine="540"/>
        <w:jc w:val="both"/>
      </w:pPr>
      <w:r>
        <w:t>в) вид, марка, модель, цвет, государственный регистрационный знак (номер);</w:t>
      </w:r>
    </w:p>
    <w:p w:rsidR="00CF398C" w:rsidRDefault="00CF398C" w:rsidP="00CF398C">
      <w:pPr>
        <w:pStyle w:val="ConsPlusNormal"/>
        <w:spacing w:before="220"/>
        <w:ind w:firstLine="540"/>
        <w:jc w:val="both"/>
      </w:pPr>
      <w:r>
        <w:t>г)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w:t>
      </w:r>
    </w:p>
    <w:p w:rsidR="00CF398C" w:rsidRDefault="00CF398C" w:rsidP="00CF398C">
      <w:pPr>
        <w:pStyle w:val="ConsPlusNormal"/>
        <w:spacing w:before="220"/>
        <w:ind w:firstLine="540"/>
        <w:jc w:val="both"/>
      </w:pPr>
      <w:r>
        <w:t>д) срок и временной интервал действия пропуска;</w:t>
      </w:r>
    </w:p>
    <w:p w:rsidR="00CF398C" w:rsidRDefault="00CF398C" w:rsidP="00CF398C">
      <w:pPr>
        <w:pStyle w:val="ConsPlusNormal"/>
        <w:spacing w:before="220"/>
        <w:ind w:firstLine="540"/>
        <w:jc w:val="both"/>
      </w:pPr>
      <w:r>
        <w:t>е) наименование должности лица, под управлением которого будут находиться автотранспортные средства, самоходные машины и механизмы.</w:t>
      </w:r>
    </w:p>
    <w:p w:rsidR="00CF398C" w:rsidRDefault="00CF398C" w:rsidP="00CF398C">
      <w:pPr>
        <w:pStyle w:val="ConsPlusNormal"/>
        <w:spacing w:before="220"/>
        <w:ind w:firstLine="540"/>
        <w:jc w:val="both"/>
      </w:pPr>
      <w:r>
        <w:t>5. Разовые пропуска выдаются посетителям объекта транспортной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p>
    <w:p w:rsidR="00CF398C" w:rsidRDefault="00CF398C" w:rsidP="00CF398C">
      <w:pPr>
        <w:pStyle w:val="ConsPlusNormal"/>
        <w:spacing w:before="220"/>
        <w:ind w:firstLine="540"/>
        <w:jc w:val="both"/>
      </w:pPr>
      <w:bookmarkStart w:id="3" w:name="P366"/>
      <w:bookmarkEnd w:id="3"/>
      <w:r>
        <w:t>6. Разовые пропуска физических лиц содержат следующую информацию:</w:t>
      </w:r>
    </w:p>
    <w:p w:rsidR="00CF398C" w:rsidRDefault="00CF398C" w:rsidP="00CF398C">
      <w:pPr>
        <w:pStyle w:val="ConsPlusNormal"/>
        <w:spacing w:before="220"/>
        <w:ind w:firstLine="540"/>
        <w:jc w:val="both"/>
      </w:pPr>
      <w:r>
        <w:t>а) номер пропуска;</w:t>
      </w:r>
    </w:p>
    <w:p w:rsidR="00CF398C" w:rsidRDefault="00CF398C" w:rsidP="00CF398C">
      <w:pPr>
        <w:pStyle w:val="ConsPlusNormal"/>
        <w:spacing w:before="220"/>
        <w:ind w:firstLine="540"/>
        <w:jc w:val="both"/>
      </w:pPr>
      <w:r>
        <w:t>б) фамилия, имя и отчество владельца пропуска (при их наличии);</w:t>
      </w:r>
    </w:p>
    <w:p w:rsidR="00CF398C" w:rsidRDefault="00CF398C" w:rsidP="00CF398C">
      <w:pPr>
        <w:pStyle w:val="ConsPlusNormal"/>
        <w:spacing w:before="220"/>
        <w:ind w:firstLine="540"/>
        <w:jc w:val="both"/>
      </w:pPr>
      <w:r>
        <w:t>в) серия, номер, дата и место выдачи документа, удостоверяющего личность;</w:t>
      </w:r>
    </w:p>
    <w:p w:rsidR="00CF398C" w:rsidRDefault="00CF398C" w:rsidP="00CF398C">
      <w:pPr>
        <w:pStyle w:val="ConsPlusNormal"/>
        <w:spacing w:before="220"/>
        <w:ind w:firstLine="540"/>
        <w:jc w:val="both"/>
      </w:pPr>
      <w:r>
        <w:t>г) наименование субъекта транспортной инфраструктуры, выдавшего пропуск;</w:t>
      </w:r>
    </w:p>
    <w:p w:rsidR="00CF398C" w:rsidRDefault="00CF398C" w:rsidP="00CF398C">
      <w:pPr>
        <w:pStyle w:val="ConsPlusNormal"/>
        <w:spacing w:before="220"/>
        <w:ind w:firstLine="540"/>
        <w:jc w:val="both"/>
      </w:pPr>
      <w:r>
        <w:t>д) срок и временной интервал действия пропуска;</w:t>
      </w:r>
    </w:p>
    <w:p w:rsidR="00CF398C" w:rsidRDefault="00CF398C" w:rsidP="00CF398C">
      <w:pPr>
        <w:pStyle w:val="ConsPlusNormal"/>
        <w:spacing w:before="220"/>
        <w:ind w:firstLine="540"/>
        <w:jc w:val="both"/>
      </w:pPr>
      <w:r>
        <w:t>е) сектора зоны транспортной безопасности объекта транспортной инфраструктуры, в которые допущен владелец пропуска.</w:t>
      </w:r>
    </w:p>
    <w:p w:rsidR="00CF398C" w:rsidRDefault="00CF398C" w:rsidP="00CF398C">
      <w:pPr>
        <w:pStyle w:val="ConsPlusNormal"/>
        <w:spacing w:before="220"/>
        <w:ind w:firstLine="540"/>
        <w:jc w:val="both"/>
      </w:pPr>
      <w:r>
        <w:t>7. Письменные обращения о выдаче постоянных и разовых пропусков с приложением списка физических лиц, следующих на транспортное средство, заполняются на русском языке разборчиво от руки или с использованием технических средств без сокращений слов, аббревиатур, исправлений или помарок.</w:t>
      </w:r>
    </w:p>
    <w:p w:rsidR="00CF398C" w:rsidRDefault="00CF398C" w:rsidP="00CF398C">
      <w:pPr>
        <w:pStyle w:val="ConsPlusNormal"/>
        <w:spacing w:before="220"/>
        <w:ind w:firstLine="540"/>
        <w:jc w:val="both"/>
      </w:pPr>
      <w:bookmarkStart w:id="4" w:name="P374"/>
      <w:bookmarkEnd w:id="4"/>
      <w:r>
        <w:t>8. Письменное обращение о допуске на объект транспортной инфраструктуры физического лица, следующего на транспортное средство, включает полное наименование юридического лица или фамилию, имя, отчество (при наличии) индивидуального предпринимателя, инициирующих выдачу пропуска, фамилию, имя, отчество (при наличии), дату и место рождения, место жительства (регистрации), занимаемую должность, серию, номер, дату и место выдачи удостоверяющего личность документа физического лица, а также сведения о целях пребывания физического лица в секторах зоны транспортной безопасности объекта транспортной инфраструктуры и сроке (периоде), на который требуется оформить ему пропуск.</w:t>
      </w:r>
    </w:p>
    <w:p w:rsidR="00CF398C" w:rsidRDefault="00CF398C" w:rsidP="00CF398C">
      <w:pPr>
        <w:pStyle w:val="ConsPlusNormal"/>
        <w:spacing w:before="220"/>
        <w:ind w:firstLine="540"/>
        <w:jc w:val="both"/>
      </w:pPr>
      <w:bookmarkStart w:id="5" w:name="P375"/>
      <w:bookmarkEnd w:id="5"/>
      <w:r>
        <w:t xml:space="preserve">9. Письменное обращение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включает полное наименование юридического лица или фамилию, имя, отчество (при наличии) индивидуального предпринимателя, инициирующих выдачу </w:t>
      </w:r>
      <w:r>
        <w:lastRenderedPageBreak/>
        <w:t>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государственный регистрационный знак (номер), сведения о должности лица, под управлением которого будут 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CF398C" w:rsidRDefault="00CF398C" w:rsidP="00CF398C">
      <w:pPr>
        <w:pStyle w:val="ConsPlusNormal"/>
        <w:spacing w:before="220"/>
        <w:ind w:firstLine="540"/>
        <w:jc w:val="both"/>
      </w:pPr>
      <w:r>
        <w:t>10. Материальные пропуска выдаются на перемещаемые в зону транспортной безопасности объекта транспортной инфраструктуры и (или) из нее материальные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
    <w:p w:rsidR="00CF398C" w:rsidRDefault="00CF398C" w:rsidP="00CF398C">
      <w:pPr>
        <w:pStyle w:val="ConsPlusNormal"/>
        <w:spacing w:before="220"/>
        <w:ind w:firstLine="540"/>
        <w:jc w:val="both"/>
      </w:pPr>
      <w:r>
        <w:t xml:space="preserve">11. Материальные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транспортного </w:t>
      </w:r>
      <w:proofErr w:type="gramStart"/>
      <w:r>
        <w:t>средства</w:t>
      </w:r>
      <w:proofErr w:type="gramEnd"/>
      <w:r>
        <w:t xml:space="preserve"> или ее часть, с которыми объект транспортной инфраструктуры осуществляет технологическое взаимодействие, а также на материальные объекты, содержащие такие предметы и вещества, выдаются:</w:t>
      </w:r>
    </w:p>
    <w:p w:rsidR="00CF398C" w:rsidRDefault="00CF398C" w:rsidP="00CF398C">
      <w:pPr>
        <w:pStyle w:val="ConsPlusNormal"/>
        <w:spacing w:before="220"/>
        <w:ind w:firstLine="540"/>
        <w:jc w:val="both"/>
      </w:pPr>
      <w:r>
        <w:t>а)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p>
    <w:p w:rsidR="00CF398C" w:rsidRDefault="00CF398C" w:rsidP="00CF398C">
      <w:pPr>
        <w:pStyle w:val="ConsPlusNormal"/>
        <w:spacing w:before="220"/>
        <w:ind w:firstLine="540"/>
        <w:jc w:val="both"/>
      </w:pPr>
      <w:r>
        <w:t>б)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p>
    <w:p w:rsidR="00CF398C" w:rsidRDefault="00CF398C" w:rsidP="00CF398C">
      <w:pPr>
        <w:pStyle w:val="ConsPlusNormal"/>
        <w:spacing w:before="220"/>
        <w:ind w:firstLine="540"/>
        <w:jc w:val="both"/>
      </w:pPr>
      <w:r>
        <w:t>в)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p>
    <w:p w:rsidR="00CF398C" w:rsidRDefault="00CF398C" w:rsidP="00CF398C">
      <w:pPr>
        <w:pStyle w:val="ConsPlusNormal"/>
        <w:spacing w:before="220"/>
        <w:ind w:firstLine="540"/>
        <w:jc w:val="both"/>
      </w:pPr>
      <w:r>
        <w:t>12. Письменное обращение о выдаче материального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ее часть, включает полное наименование юридического лица или индивидуального предпринимателя, инициирующих выдачу пропуска,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указанных предметов и веществ,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
    <w:p w:rsidR="00CF398C" w:rsidRDefault="00CF398C" w:rsidP="00CF398C">
      <w:pPr>
        <w:pStyle w:val="ConsPlusNormal"/>
        <w:spacing w:before="220"/>
        <w:ind w:firstLine="540"/>
        <w:jc w:val="both"/>
      </w:pPr>
      <w:r>
        <w:t xml:space="preserve">13. Постоянные и материальные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для обеспечения их допуска в зону транспортной безопасности объекта транспортной инфраструктуры или ее часть, на критические элементы объекта транспортной инфраструктуры и зону транспортной безопасности транспортного средства или ее часть, на критические элементы транспортного средства, с которым объект транспортной инфраструктуры осуществляет технологическое взаимодействие, для выполнения служебных задач и функций на основании письменных обращений </w:t>
      </w:r>
      <w:r>
        <w:lastRenderedPageBreak/>
        <w:t xml:space="preserve">уполномоченных лиц подразделений федеральных органов исполнительной власти без учета положений, предусмотренных </w:t>
      </w:r>
      <w:hyperlink w:anchor="P374" w:history="1">
        <w:r>
          <w:rPr>
            <w:color w:val="0000FF"/>
          </w:rPr>
          <w:t>пунктами 8</w:t>
        </w:r>
      </w:hyperlink>
      <w:r>
        <w:t xml:space="preserve"> и </w:t>
      </w:r>
      <w:hyperlink w:anchor="P375" w:history="1">
        <w:r>
          <w:rPr>
            <w:color w:val="0000FF"/>
          </w:rPr>
          <w:t>9</w:t>
        </w:r>
      </w:hyperlink>
      <w:r>
        <w:t xml:space="preserve"> настоящих Правил, а также без применения биометрических устройств.</w:t>
      </w:r>
    </w:p>
    <w:p w:rsidR="00CF398C" w:rsidRDefault="00CF398C" w:rsidP="00CF398C">
      <w:pPr>
        <w:pStyle w:val="ConsPlusNormal"/>
        <w:spacing w:before="220"/>
        <w:ind w:firstLine="540"/>
        <w:jc w:val="both"/>
      </w:pPr>
      <w:r>
        <w:t>14. 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 выдаются на контрольно-пропускных пунктах по факту обращения в сроки, не препятствующие выполнению ими служебных задач и функций. 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на критические элементы объекта транспортной инфраструктуры, а также в зону транспортной безопасности транспортного средства и на критические элементы транспортного средства для выполнения служебных задач и функций на основании служебных удостоверений и заданий, предписаний, командировочных удостоверений в сопровождении представителей подразделений органов Федеральной службы безопасности Российской Федерации, органов внутренних дел, обладающих постоянными пропусками для допуска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CF398C" w:rsidRDefault="00CF398C" w:rsidP="00CF398C">
      <w:pPr>
        <w:pStyle w:val="ConsPlusNormal"/>
        <w:spacing w:before="220"/>
        <w:ind w:firstLine="540"/>
        <w:jc w:val="both"/>
      </w:pPr>
      <w:r>
        <w:t>15.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
    <w:p w:rsidR="00CF398C" w:rsidRDefault="00CF398C" w:rsidP="00CF398C">
      <w:pPr>
        <w:pStyle w:val="ConsPlusNormal"/>
        <w:spacing w:before="220"/>
        <w:ind w:firstLine="540"/>
        <w:jc w:val="both"/>
      </w:pPr>
      <w:r>
        <w:t>16. 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w:t>
      </w:r>
    </w:p>
    <w:p w:rsidR="00CF398C" w:rsidRDefault="00CF398C" w:rsidP="00CF398C">
      <w:pPr>
        <w:pStyle w:val="ConsPlusNormal"/>
        <w:spacing w:before="220"/>
        <w:ind w:firstLine="540"/>
        <w:jc w:val="both"/>
      </w:pPr>
      <w:r>
        <w:t>17.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w:t>
      </w:r>
    </w:p>
    <w:p w:rsidR="00CF398C" w:rsidRDefault="00CF398C" w:rsidP="00CF398C">
      <w:pPr>
        <w:pStyle w:val="ConsPlusNormal"/>
        <w:spacing w:before="220"/>
        <w:ind w:firstLine="540"/>
        <w:jc w:val="both"/>
      </w:pPr>
      <w:r>
        <w:t xml:space="preserve">18. 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w:t>
      </w:r>
      <w:proofErr w:type="spellStart"/>
      <w:r>
        <w:t>внутриобъектовом</w:t>
      </w:r>
      <w:proofErr w:type="spellEnd"/>
      <w:r>
        <w:t xml:space="preserve"> режимах на объекте транспортной инфраструктуры.</w:t>
      </w:r>
    </w:p>
    <w:p w:rsidR="00CF398C" w:rsidRDefault="00CF398C" w:rsidP="00CF398C">
      <w:pPr>
        <w:pStyle w:val="ConsPlusNormal"/>
        <w:spacing w:before="220"/>
        <w:ind w:firstLine="540"/>
        <w:jc w:val="both"/>
      </w:pPr>
      <w:r>
        <w:t>19. Пропуска любых установленных видов выдаются только при личном обращении лиц, допускаемых в зону транспортной безопасности объекта транспортной инфраструктуры, а факты их выдачи регистрируются в базах данных на электронном и бумажном носителях.</w:t>
      </w:r>
    </w:p>
    <w:p w:rsidR="00CF398C" w:rsidRDefault="00CF398C" w:rsidP="00CF398C">
      <w:pPr>
        <w:pStyle w:val="ConsPlusNormal"/>
        <w:spacing w:before="220"/>
        <w:ind w:firstLine="540"/>
        <w:jc w:val="both"/>
      </w:pPr>
      <w:r>
        <w:t>20. Субъектом транспортной инфраструктуры обеспечивается защита баз данных и реквизитов выданных и планируемых к выдаче пропусков от доступа к ним посторонних лиц.</w:t>
      </w:r>
    </w:p>
    <w:p w:rsidR="00CF398C" w:rsidRDefault="00CF398C" w:rsidP="00CF398C">
      <w:pPr>
        <w:pStyle w:val="ConsPlusNormal"/>
        <w:spacing w:before="220"/>
        <w:ind w:firstLine="540"/>
        <w:jc w:val="both"/>
      </w:pPr>
      <w:r>
        <w:t xml:space="preserve">21. Электронные и бумажные носители (заготовки) для пропусков хранятся в условиях, </w:t>
      </w:r>
      <w:r>
        <w:lastRenderedPageBreak/>
        <w:t>обеспечивающих невозможность их ненадлежащего использования.</w:t>
      </w:r>
    </w:p>
    <w:p w:rsidR="00CF398C" w:rsidRDefault="00CF398C" w:rsidP="00CF398C">
      <w:pPr>
        <w:pStyle w:val="ConsPlusNormal"/>
        <w:spacing w:before="220"/>
        <w:ind w:firstLine="540"/>
        <w:jc w:val="both"/>
      </w:pPr>
      <w:r>
        <w:t>22. При нахождении в зоне транспортной безопасности объекта транспортной инфраструктуры и на критических элементах объекта транспортной инфраструктуры владельцев постоянных пропусков, за исключением сотрудников органов Федеральной службы безопасности Российской Федерации, органов внутренних дел, осуществляющих деятельность на объекте транспортной инфраструктуры, а также за исключением случаев, при которых нарушаются правила техники безопасности, ношение таких пропусков осуществляется на видном месте поверх одежды.</w:t>
      </w:r>
    </w:p>
    <w:p w:rsidR="00CF398C" w:rsidRDefault="00CF398C" w:rsidP="00CF398C">
      <w:pPr>
        <w:pStyle w:val="ConsPlusNormal"/>
        <w:spacing w:before="220"/>
        <w:ind w:firstLine="540"/>
        <w:jc w:val="both"/>
      </w:pPr>
      <w:r>
        <w:t xml:space="preserve">23. 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w:t>
      </w:r>
      <w:proofErr w:type="spellStart"/>
      <w:r>
        <w:t>внутриобъектовом</w:t>
      </w:r>
      <w:proofErr w:type="spellEnd"/>
      <w:r>
        <w:t xml:space="preserve">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
    <w:p w:rsidR="00CF398C" w:rsidRDefault="00CF398C" w:rsidP="00CF398C">
      <w:pPr>
        <w:pStyle w:val="ConsPlusNormal"/>
        <w:spacing w:before="220"/>
        <w:ind w:firstLine="540"/>
        <w:jc w:val="both"/>
      </w:pPr>
      <w:r>
        <w:t>24. Аннулированные пропуска и пропуска с истекшим сроком действия уничтожаются с обязательной регистрацией фактов уничтожения.</w:t>
      </w:r>
    </w:p>
    <w:p w:rsidR="00CF398C" w:rsidRDefault="00CF398C" w:rsidP="00CF398C">
      <w:pPr>
        <w:pStyle w:val="ConsPlusNormal"/>
        <w:spacing w:before="220"/>
        <w:ind w:firstLine="540"/>
        <w:jc w:val="both"/>
      </w:pPr>
      <w:r>
        <w:t xml:space="preserve">25. Образцы пропусков согласовываются с уполномоченными подразделениями органов Федеральной службы безопасности Российской Федерации, органов внутренних дел и Федеральным агентством морского и речного транспорта в целях их соответствия положениям </w:t>
      </w:r>
      <w:hyperlink w:anchor="P352" w:history="1">
        <w:r>
          <w:rPr>
            <w:color w:val="0000FF"/>
          </w:rPr>
          <w:t>пунктов 3</w:t>
        </w:r>
      </w:hyperlink>
      <w:r>
        <w:t xml:space="preserve">, </w:t>
      </w:r>
      <w:hyperlink w:anchor="P358" w:history="1">
        <w:r>
          <w:rPr>
            <w:color w:val="0000FF"/>
          </w:rPr>
          <w:t>4</w:t>
        </w:r>
      </w:hyperlink>
      <w:r>
        <w:t xml:space="preserve"> и </w:t>
      </w:r>
      <w:hyperlink w:anchor="P366" w:history="1">
        <w:r>
          <w:rPr>
            <w:color w:val="0000FF"/>
          </w:rPr>
          <w:t>6</w:t>
        </w:r>
      </w:hyperlink>
      <w:r>
        <w:t xml:space="preserve"> настоящих Правил и прилагаются к положению (инструкции) о пропускном и </w:t>
      </w:r>
      <w:proofErr w:type="spellStart"/>
      <w:r>
        <w:t>внутриобъектовом</w:t>
      </w:r>
      <w:proofErr w:type="spellEnd"/>
      <w:r>
        <w:t xml:space="preserve"> режимах на объекте транспортной инфраструктуры.</w:t>
      </w:r>
    </w:p>
    <w:p w:rsidR="00CF398C" w:rsidRDefault="00CF398C" w:rsidP="00CF398C">
      <w:pPr>
        <w:pStyle w:val="ConsPlusNormal"/>
        <w:spacing w:before="220"/>
        <w:ind w:firstLine="540"/>
        <w:jc w:val="both"/>
      </w:pPr>
      <w:r>
        <w:t>26. Для допуска в зону транспортной безопасности объекта транспортной инфраструктуры физических лиц, следующих на транспортное средство, с которым объект транспортной инфраструктуры осуществляет технологическое взаимодействие (за исключением пассажиров и членов экипажей), оформляются разовые пропуска на основании списка физических лиц, следующих на такое транспортное средство, заверенного подписью капитана этого транспортного средства или лица командного состава транспортного средства, надлежащим образом уполномоченного на то капитаном указанного транспортного средства, и судовой печатью, а также документов, удостоверяющих личность этих физических лиц. Для оформления указанных пропусков капитан или лицо командного состава транспортного средства, надлежащим образом уполномоченное капитаном этого транспортного средства, или лицо, уполномоченное судовладельцем, передает список физических лиц, следующих на это транспортное средство, лицу, ответственному за обеспечение транспортной безопасности объекта транспортной инфраструктуры.</w:t>
      </w:r>
    </w:p>
    <w:p w:rsidR="00CF398C" w:rsidRDefault="00CF398C" w:rsidP="00CF398C">
      <w:pPr>
        <w:pStyle w:val="ConsPlusNormal"/>
        <w:spacing w:before="220"/>
        <w:ind w:firstLine="540"/>
        <w:jc w:val="both"/>
      </w:pPr>
      <w:r>
        <w:t xml:space="preserve">27. Для членов экипажей транспортных средств, с которыми объект транспортной инфраструктуры осуществляет технологическое взаимодействие, и пассажиров, следующих на такие транспортные средства, субъект транспортной инфраструктуры организовывает пропускной и </w:t>
      </w:r>
      <w:proofErr w:type="spellStart"/>
      <w:r>
        <w:t>внутриобъектовый</w:t>
      </w:r>
      <w:proofErr w:type="spellEnd"/>
      <w:r>
        <w:t xml:space="preserve"> режимы на объекте транспортной инфраструктуры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транспортной инфраструктуры, и утвержденным планом обеспечения транспортной безопасности объекта транспортной инфраструктуры, которые предусматривают следующий порядок допуска в перевозочный и (или) технологический сектора зоны транспортной безопасности объекта транспортной инфраструктуры:</w:t>
      </w:r>
    </w:p>
    <w:p w:rsidR="00CF398C" w:rsidRDefault="00CF398C" w:rsidP="00CF398C">
      <w:pPr>
        <w:pStyle w:val="ConsPlusNormal"/>
        <w:spacing w:before="220"/>
        <w:ind w:firstLine="540"/>
        <w:jc w:val="both"/>
      </w:pPr>
      <w:r>
        <w:t xml:space="preserve">а) члены экипажей транспортных средств проходят на объект транспортной инфраструктуры на основании судовой роли, заверенной подписью капитана транспортного средства или лица командного состава транспортного средства, надлежащим образом уполномоченного на то </w:t>
      </w:r>
      <w:r>
        <w:lastRenderedPageBreak/>
        <w:t>капитаном транспортного средства, и судовой печатью, а также документов, удостоверяющих личность члена экипажа;</w:t>
      </w:r>
    </w:p>
    <w:p w:rsidR="00CF398C" w:rsidRDefault="00CF398C" w:rsidP="00CF398C">
      <w:pPr>
        <w:pStyle w:val="ConsPlusNormal"/>
        <w:spacing w:before="220"/>
        <w:ind w:firstLine="540"/>
        <w:jc w:val="both"/>
      </w:pPr>
      <w:r>
        <w:t>б) для допуска на объект транспортной инфраструктуры членов экипажа транспортного средства капитан транспортного средства или лицо командного состава транспортного средства, надлежащим образом уполномоченное капитаном транспортного средства, либо лицо, уполномоченное судовладельцем, передает судовую роль лицу, ответственному за обеспечение транспортной безопасности объекта транспортной инфраструктуры;</w:t>
      </w:r>
    </w:p>
    <w:p w:rsidR="00E85ABB" w:rsidRDefault="00CF398C" w:rsidP="00CF398C">
      <w:r>
        <w:t>в) пассажиры проходят на объект транспортной инфраструктуры на основании проездных, перевозочных и удостоверяющих личность документов.</w:t>
      </w:r>
    </w:p>
    <w:p w:rsidR="00CF398C" w:rsidRDefault="00CF398C" w:rsidP="00CF398C"/>
    <w:p w:rsidR="00CF398C" w:rsidRDefault="00CF398C" w:rsidP="00CF398C">
      <w:pPr>
        <w:pStyle w:val="ConsPlusNormal"/>
        <w:jc w:val="right"/>
        <w:outlineLvl w:val="0"/>
      </w:pPr>
      <w:r>
        <w:t>Утверждены</w:t>
      </w:r>
    </w:p>
    <w:p w:rsidR="00CF398C" w:rsidRDefault="00CF398C" w:rsidP="00CF398C">
      <w:pPr>
        <w:pStyle w:val="ConsPlusNormal"/>
        <w:jc w:val="right"/>
      </w:pPr>
      <w:r>
        <w:t>постановлением Правительства</w:t>
      </w:r>
    </w:p>
    <w:p w:rsidR="00CF398C" w:rsidRDefault="00CF398C" w:rsidP="00CF398C">
      <w:pPr>
        <w:pStyle w:val="ConsPlusNormal"/>
        <w:jc w:val="right"/>
      </w:pPr>
      <w:r>
        <w:t>Российской Федерации</w:t>
      </w:r>
    </w:p>
    <w:p w:rsidR="00CF398C" w:rsidRDefault="00CF398C" w:rsidP="00CF398C">
      <w:pPr>
        <w:pStyle w:val="ConsPlusNormal"/>
        <w:jc w:val="right"/>
      </w:pPr>
      <w:r>
        <w:t>от 8 октября 2020 г. N 1638</w:t>
      </w:r>
    </w:p>
    <w:p w:rsidR="00CF398C" w:rsidRPr="00CF398C" w:rsidRDefault="00CF398C" w:rsidP="00CF398C">
      <w:bookmarkStart w:id="6" w:name="_GoBack"/>
      <w:bookmarkEnd w:id="6"/>
    </w:p>
    <w:sectPr w:rsidR="00CF398C" w:rsidRPr="00CF398C" w:rsidSect="0041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26"/>
    <w:rsid w:val="00107C26"/>
    <w:rsid w:val="004B7945"/>
    <w:rsid w:val="00A66A7D"/>
    <w:rsid w:val="00C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E6E0"/>
  <w15:docId w15:val="{A6A9E9E6-24CA-4409-9251-A689F66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7C2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Мелёхина Юлия Дмитриевна</dc:creator>
  <cp:lastModifiedBy>Попова Галина Ивановна</cp:lastModifiedBy>
  <cp:revision>2</cp:revision>
  <dcterms:created xsi:type="dcterms:W3CDTF">2016-12-20T13:51:00Z</dcterms:created>
  <dcterms:modified xsi:type="dcterms:W3CDTF">2021-03-22T06:45:00Z</dcterms:modified>
</cp:coreProperties>
</file>